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2C7A" w14:textId="71553B53" w:rsidR="00F75034" w:rsidRPr="00F75034" w:rsidRDefault="00F75034" w:rsidP="00F75034">
      <w:pPr>
        <w:jc w:val="both"/>
        <w:rPr>
          <w:rFonts w:ascii="Calibri" w:hAnsi="Calibri" w:cs="Calibri"/>
          <w:b/>
          <w:bCs/>
          <w:sz w:val="22"/>
          <w:szCs w:val="22"/>
        </w:rPr>
      </w:pPr>
      <w:r w:rsidRPr="00F75034">
        <w:rPr>
          <w:rFonts w:ascii="Calibri" w:hAnsi="Calibri" w:cs="Calibri"/>
          <w:b/>
          <w:bCs/>
          <w:sz w:val="22"/>
          <w:szCs w:val="22"/>
        </w:rPr>
        <w:t>TERMS AND CONDITIONS OF SALE – ACDC EXPRESS</w:t>
      </w:r>
      <w:r w:rsidR="00A215FB">
        <w:rPr>
          <w:rFonts w:ascii="Calibri" w:hAnsi="Calibri" w:cs="Calibri"/>
          <w:b/>
          <w:bCs/>
          <w:sz w:val="22"/>
          <w:szCs w:val="22"/>
        </w:rPr>
        <w:t xml:space="preserve"> (“ACDC”)</w:t>
      </w:r>
      <w:r w:rsidRPr="00F75034">
        <w:rPr>
          <w:rFonts w:ascii="Calibri" w:hAnsi="Calibri" w:cs="Calibri"/>
          <w:b/>
          <w:bCs/>
          <w:sz w:val="22"/>
          <w:szCs w:val="22"/>
        </w:rPr>
        <w:t xml:space="preserve"> </w:t>
      </w:r>
    </w:p>
    <w:p w14:paraId="0C50128D" w14:textId="77777777" w:rsidR="00F75034" w:rsidRPr="00F75034" w:rsidRDefault="00F75034" w:rsidP="00F75034">
      <w:pPr>
        <w:jc w:val="both"/>
        <w:rPr>
          <w:rFonts w:ascii="Calibri" w:hAnsi="Calibri" w:cs="Calibri"/>
          <w:b/>
          <w:bCs/>
          <w:sz w:val="22"/>
          <w:szCs w:val="22"/>
        </w:rPr>
      </w:pPr>
      <w:r w:rsidRPr="00F75034">
        <w:rPr>
          <w:rFonts w:ascii="Calibri" w:hAnsi="Calibri" w:cs="Calibri"/>
          <w:b/>
          <w:bCs/>
          <w:sz w:val="22"/>
          <w:szCs w:val="22"/>
        </w:rPr>
        <w:t>1. Quotations and Orders</w:t>
      </w:r>
    </w:p>
    <w:p w14:paraId="76E4509C" w14:textId="41CDA994" w:rsidR="00F75034" w:rsidRDefault="00F75034" w:rsidP="00280BF9">
      <w:pPr>
        <w:pStyle w:val="ListParagraph"/>
        <w:numPr>
          <w:ilvl w:val="1"/>
          <w:numId w:val="22"/>
        </w:numPr>
        <w:jc w:val="both"/>
        <w:rPr>
          <w:rFonts w:ascii="Calibri" w:hAnsi="Calibri" w:cs="Calibri"/>
          <w:sz w:val="22"/>
          <w:szCs w:val="22"/>
        </w:rPr>
      </w:pPr>
      <w:r w:rsidRPr="00280BF9">
        <w:rPr>
          <w:rFonts w:ascii="Calibri" w:hAnsi="Calibri" w:cs="Calibri"/>
          <w:sz w:val="22"/>
          <w:szCs w:val="22"/>
        </w:rPr>
        <w:t xml:space="preserve">All quotations are valid for a period of </w:t>
      </w:r>
      <w:r w:rsidR="0095099B">
        <w:rPr>
          <w:rFonts w:ascii="Calibri" w:hAnsi="Calibri" w:cs="Calibri"/>
          <w:sz w:val="22"/>
          <w:szCs w:val="22"/>
        </w:rPr>
        <w:t>seven</w:t>
      </w:r>
      <w:r w:rsidRPr="00280BF9">
        <w:rPr>
          <w:rFonts w:ascii="Calibri" w:hAnsi="Calibri" w:cs="Calibri"/>
          <w:sz w:val="22"/>
          <w:szCs w:val="22"/>
        </w:rPr>
        <w:t xml:space="preserve"> (</w:t>
      </w:r>
      <w:r w:rsidR="0095099B">
        <w:rPr>
          <w:rFonts w:ascii="Calibri" w:hAnsi="Calibri" w:cs="Calibri"/>
          <w:sz w:val="22"/>
          <w:szCs w:val="22"/>
        </w:rPr>
        <w:t>7</w:t>
      </w:r>
      <w:r w:rsidRPr="00280BF9">
        <w:rPr>
          <w:rFonts w:ascii="Calibri" w:hAnsi="Calibri" w:cs="Calibri"/>
          <w:sz w:val="22"/>
          <w:szCs w:val="22"/>
        </w:rPr>
        <w:t>) days from the date of issue, unless otherwise stated in writing.</w:t>
      </w:r>
    </w:p>
    <w:p w14:paraId="2FF56304" w14:textId="480BC924" w:rsidR="00F75034" w:rsidRDefault="00F75034" w:rsidP="00F75034">
      <w:pPr>
        <w:pStyle w:val="ListParagraph"/>
        <w:numPr>
          <w:ilvl w:val="1"/>
          <w:numId w:val="22"/>
        </w:numPr>
        <w:jc w:val="both"/>
        <w:rPr>
          <w:rFonts w:ascii="Calibri" w:hAnsi="Calibri" w:cs="Calibri"/>
          <w:sz w:val="22"/>
          <w:szCs w:val="22"/>
        </w:rPr>
      </w:pPr>
      <w:r w:rsidRPr="00280BF9">
        <w:rPr>
          <w:rFonts w:ascii="Calibri" w:hAnsi="Calibri" w:cs="Calibri"/>
          <w:sz w:val="22"/>
          <w:szCs w:val="22"/>
        </w:rPr>
        <w:t>Orders are subject to acceptance by ACDC and shall only become binding once confirmed in writing.</w:t>
      </w:r>
    </w:p>
    <w:p w14:paraId="73E44B1E" w14:textId="040A6B30" w:rsidR="00F75034" w:rsidRDefault="00F75034" w:rsidP="00F75034">
      <w:pPr>
        <w:pStyle w:val="ListParagraph"/>
        <w:numPr>
          <w:ilvl w:val="1"/>
          <w:numId w:val="22"/>
        </w:numPr>
        <w:jc w:val="both"/>
        <w:rPr>
          <w:rFonts w:ascii="Calibri" w:hAnsi="Calibri" w:cs="Calibri"/>
          <w:sz w:val="22"/>
          <w:szCs w:val="22"/>
        </w:rPr>
      </w:pPr>
      <w:r w:rsidRPr="00280BF9">
        <w:rPr>
          <w:rFonts w:ascii="Calibri" w:hAnsi="Calibri" w:cs="Calibri"/>
          <w:sz w:val="22"/>
          <w:szCs w:val="22"/>
        </w:rPr>
        <w:t>Quotations are based on the information supplied at the time and may be subject to adjustment should the specification change.</w:t>
      </w:r>
    </w:p>
    <w:p w14:paraId="092E4E66" w14:textId="5F34DEAF" w:rsidR="00F75034" w:rsidRPr="00280BF9" w:rsidRDefault="00224820" w:rsidP="00F75034">
      <w:pPr>
        <w:pStyle w:val="ListParagraph"/>
        <w:numPr>
          <w:ilvl w:val="1"/>
          <w:numId w:val="22"/>
        </w:numPr>
        <w:jc w:val="both"/>
        <w:rPr>
          <w:rFonts w:ascii="Calibri" w:hAnsi="Calibri" w:cs="Calibri"/>
          <w:sz w:val="22"/>
          <w:szCs w:val="22"/>
        </w:rPr>
      </w:pPr>
      <w:r w:rsidRPr="00224820">
        <w:rPr>
          <w:rFonts w:ascii="Calibri" w:hAnsi="Calibri" w:cs="Calibri"/>
          <w:sz w:val="22"/>
          <w:szCs w:val="22"/>
        </w:rPr>
        <w:t>Quotations are provided as a whole and may not be separated unless expressly agreed in writing.</w:t>
      </w:r>
    </w:p>
    <w:p w14:paraId="50825274" w14:textId="77777777" w:rsidR="00F75034" w:rsidRPr="00F75034" w:rsidRDefault="00F75034" w:rsidP="00F75034">
      <w:pPr>
        <w:jc w:val="both"/>
        <w:rPr>
          <w:rFonts w:ascii="Calibri" w:hAnsi="Calibri" w:cs="Calibri"/>
          <w:b/>
          <w:bCs/>
          <w:sz w:val="22"/>
          <w:szCs w:val="22"/>
        </w:rPr>
      </w:pPr>
      <w:r w:rsidRPr="00F75034">
        <w:rPr>
          <w:rFonts w:ascii="Calibri" w:hAnsi="Calibri" w:cs="Calibri"/>
          <w:b/>
          <w:bCs/>
          <w:sz w:val="22"/>
          <w:szCs w:val="22"/>
        </w:rPr>
        <w:t>2. Prices</w:t>
      </w:r>
    </w:p>
    <w:p w14:paraId="32A21D35" w14:textId="28F3B6C9" w:rsidR="00F75034" w:rsidRDefault="00763F87" w:rsidP="00280BF9">
      <w:pPr>
        <w:pStyle w:val="ListParagraph"/>
        <w:numPr>
          <w:ilvl w:val="1"/>
          <w:numId w:val="24"/>
        </w:numPr>
        <w:jc w:val="both"/>
        <w:rPr>
          <w:rFonts w:ascii="Calibri" w:hAnsi="Calibri" w:cs="Calibri"/>
          <w:sz w:val="22"/>
          <w:szCs w:val="22"/>
        </w:rPr>
      </w:pPr>
      <w:r w:rsidRPr="00763F87">
        <w:rPr>
          <w:rFonts w:ascii="Calibri" w:hAnsi="Calibri" w:cs="Calibri"/>
          <w:sz w:val="22"/>
          <w:szCs w:val="22"/>
        </w:rPr>
        <w:t>Prices are quoted exclusive of value-added tax (VAT) or equivalent sales tax applicable in the country of purchase, unless otherwise stated.</w:t>
      </w:r>
    </w:p>
    <w:p w14:paraId="1BFEC80E" w14:textId="70D00B02" w:rsidR="00F75034" w:rsidRPr="00280BF9" w:rsidRDefault="00F75034" w:rsidP="00F75034">
      <w:pPr>
        <w:pStyle w:val="ListParagraph"/>
        <w:numPr>
          <w:ilvl w:val="1"/>
          <w:numId w:val="24"/>
        </w:numPr>
        <w:jc w:val="both"/>
        <w:rPr>
          <w:rFonts w:ascii="Calibri" w:hAnsi="Calibri" w:cs="Calibri"/>
          <w:sz w:val="22"/>
          <w:szCs w:val="22"/>
        </w:rPr>
      </w:pPr>
      <w:r w:rsidRPr="00280BF9">
        <w:rPr>
          <w:rFonts w:ascii="Calibri" w:hAnsi="Calibri" w:cs="Calibri"/>
          <w:sz w:val="22"/>
          <w:szCs w:val="22"/>
        </w:rPr>
        <w:t>Value Added Tax (VAT) or equivalent sales taxes applicable in the country of sale shall be added to all prices quoted.</w:t>
      </w:r>
    </w:p>
    <w:p w14:paraId="184D905D" w14:textId="77777777" w:rsidR="00F75034" w:rsidRPr="00F75034" w:rsidRDefault="00F75034" w:rsidP="00F75034">
      <w:pPr>
        <w:jc w:val="both"/>
        <w:rPr>
          <w:rFonts w:ascii="Calibri" w:hAnsi="Calibri" w:cs="Calibri"/>
          <w:b/>
          <w:bCs/>
          <w:sz w:val="22"/>
          <w:szCs w:val="22"/>
        </w:rPr>
      </w:pPr>
      <w:r w:rsidRPr="00F75034">
        <w:rPr>
          <w:rFonts w:ascii="Calibri" w:hAnsi="Calibri" w:cs="Calibri"/>
          <w:b/>
          <w:bCs/>
          <w:sz w:val="22"/>
          <w:szCs w:val="22"/>
        </w:rPr>
        <w:t>3. Payment</w:t>
      </w:r>
    </w:p>
    <w:p w14:paraId="7432D4E6" w14:textId="30AAFB71" w:rsidR="007159AA" w:rsidRDefault="002B40FD" w:rsidP="007159AA">
      <w:pPr>
        <w:pStyle w:val="ListParagraph"/>
        <w:numPr>
          <w:ilvl w:val="1"/>
          <w:numId w:val="26"/>
        </w:numPr>
        <w:jc w:val="both"/>
        <w:rPr>
          <w:rFonts w:ascii="Calibri" w:hAnsi="Calibri" w:cs="Calibri"/>
          <w:sz w:val="22"/>
          <w:szCs w:val="22"/>
        </w:rPr>
      </w:pPr>
      <w:r w:rsidRPr="002B40FD">
        <w:rPr>
          <w:rFonts w:ascii="Calibri" w:hAnsi="Calibri" w:cs="Calibri"/>
          <w:sz w:val="22"/>
          <w:szCs w:val="22"/>
        </w:rPr>
        <w:t xml:space="preserve">Unless otherwise stated in the quotation or otherwise agreed in writing, all payments shall be made </w:t>
      </w:r>
      <w:r w:rsidR="00705644">
        <w:rPr>
          <w:rFonts w:ascii="Calibri" w:hAnsi="Calibri" w:cs="Calibri"/>
          <w:sz w:val="22"/>
          <w:szCs w:val="22"/>
        </w:rPr>
        <w:t>in the applicable currency depicted in the quotation</w:t>
      </w:r>
      <w:r w:rsidR="00D65276">
        <w:rPr>
          <w:rFonts w:ascii="Calibri" w:hAnsi="Calibri" w:cs="Calibri"/>
          <w:sz w:val="22"/>
          <w:szCs w:val="22"/>
        </w:rPr>
        <w:t>.</w:t>
      </w:r>
    </w:p>
    <w:p w14:paraId="00C9B622" w14:textId="6A4DCDDC" w:rsidR="00A01771" w:rsidRPr="00A01771" w:rsidRDefault="00A01771" w:rsidP="00A01771">
      <w:pPr>
        <w:pStyle w:val="ListParagraph"/>
        <w:numPr>
          <w:ilvl w:val="1"/>
          <w:numId w:val="26"/>
        </w:numPr>
        <w:jc w:val="both"/>
        <w:rPr>
          <w:rFonts w:ascii="Calibri" w:hAnsi="Calibri" w:cs="Calibri"/>
          <w:sz w:val="22"/>
          <w:szCs w:val="22"/>
        </w:rPr>
      </w:pPr>
      <w:r w:rsidRPr="00A01771">
        <w:rPr>
          <w:rFonts w:ascii="Calibri" w:hAnsi="Calibri" w:cs="Calibri"/>
          <w:sz w:val="22"/>
          <w:szCs w:val="22"/>
        </w:rPr>
        <w:t xml:space="preserve">For cash sales, payment may be made by cash, approved credit card, or electronic funds transfer (EFT). Goods will only be released once the </w:t>
      </w:r>
      <w:r w:rsidR="00D65276">
        <w:rPr>
          <w:rFonts w:ascii="Calibri" w:hAnsi="Calibri" w:cs="Calibri"/>
          <w:sz w:val="22"/>
          <w:szCs w:val="22"/>
        </w:rPr>
        <w:t xml:space="preserve">EFT </w:t>
      </w:r>
      <w:r w:rsidRPr="00A01771">
        <w:rPr>
          <w:rFonts w:ascii="Calibri" w:hAnsi="Calibri" w:cs="Calibri"/>
          <w:sz w:val="22"/>
          <w:szCs w:val="22"/>
        </w:rPr>
        <w:t>payment has cleared into ACDC’s designated bank account.</w:t>
      </w:r>
    </w:p>
    <w:p w14:paraId="555CF85D" w14:textId="48564F26" w:rsidR="00A01771" w:rsidRPr="00A01771" w:rsidRDefault="00A01771" w:rsidP="00A01771">
      <w:pPr>
        <w:pStyle w:val="ListParagraph"/>
        <w:numPr>
          <w:ilvl w:val="1"/>
          <w:numId w:val="26"/>
        </w:numPr>
        <w:jc w:val="both"/>
        <w:rPr>
          <w:rFonts w:ascii="Calibri" w:hAnsi="Calibri" w:cs="Calibri"/>
          <w:sz w:val="22"/>
          <w:szCs w:val="22"/>
        </w:rPr>
      </w:pPr>
      <w:r w:rsidRPr="00A01771">
        <w:rPr>
          <w:rFonts w:ascii="Calibri" w:hAnsi="Calibri" w:cs="Calibri"/>
          <w:sz w:val="22"/>
          <w:szCs w:val="22"/>
        </w:rPr>
        <w:t>For account sales, where the purchaser has approved account facilities, payment in full is due on or before the end of the month following the month in which the invoice was issued. To qualify for any settlement discount offered, payment must be received by ACDC on or before the due date. Each payment must be accompanied by a remittance advice to ensure correct allocation.</w:t>
      </w:r>
    </w:p>
    <w:p w14:paraId="2800A35B" w14:textId="4D99E005" w:rsidR="00F75034" w:rsidRPr="00625512" w:rsidRDefault="00F75034" w:rsidP="00625512">
      <w:pPr>
        <w:jc w:val="both"/>
        <w:rPr>
          <w:rFonts w:ascii="Calibri" w:hAnsi="Calibri" w:cs="Calibri"/>
          <w:b/>
          <w:bCs/>
          <w:sz w:val="22"/>
          <w:szCs w:val="22"/>
        </w:rPr>
      </w:pPr>
      <w:r w:rsidRPr="00625512">
        <w:rPr>
          <w:rFonts w:ascii="Calibri" w:hAnsi="Calibri" w:cs="Calibri"/>
          <w:b/>
          <w:bCs/>
          <w:sz w:val="22"/>
          <w:szCs w:val="22"/>
        </w:rPr>
        <w:t>4. Delivery</w:t>
      </w:r>
    </w:p>
    <w:p w14:paraId="3B879B9F" w14:textId="30A66EE6" w:rsidR="00F75034" w:rsidRDefault="00F75034" w:rsidP="00135152">
      <w:pPr>
        <w:pStyle w:val="ListParagraph"/>
        <w:numPr>
          <w:ilvl w:val="1"/>
          <w:numId w:val="28"/>
        </w:numPr>
        <w:jc w:val="both"/>
        <w:rPr>
          <w:rFonts w:ascii="Calibri" w:hAnsi="Calibri" w:cs="Calibri"/>
          <w:sz w:val="22"/>
          <w:szCs w:val="22"/>
        </w:rPr>
      </w:pPr>
      <w:r w:rsidRPr="00135152">
        <w:rPr>
          <w:rFonts w:ascii="Calibri" w:hAnsi="Calibri" w:cs="Calibri"/>
          <w:sz w:val="22"/>
          <w:szCs w:val="22"/>
        </w:rPr>
        <w:t>Delivery dates are estimates only</w:t>
      </w:r>
      <w:r w:rsidR="001358F5">
        <w:rPr>
          <w:rFonts w:ascii="Calibri" w:hAnsi="Calibri" w:cs="Calibri"/>
          <w:sz w:val="22"/>
          <w:szCs w:val="22"/>
        </w:rPr>
        <w:t>,</w:t>
      </w:r>
      <w:r w:rsidRPr="00135152">
        <w:rPr>
          <w:rFonts w:ascii="Calibri" w:hAnsi="Calibri" w:cs="Calibri"/>
          <w:sz w:val="22"/>
          <w:szCs w:val="22"/>
        </w:rPr>
        <w:t xml:space="preserve"> and ACDC shall not be liable for delays beyond its reasonable control.</w:t>
      </w:r>
    </w:p>
    <w:p w14:paraId="5C69FA20" w14:textId="0358E71A" w:rsidR="00F75034" w:rsidRDefault="00F75034" w:rsidP="00F75034">
      <w:pPr>
        <w:pStyle w:val="ListParagraph"/>
        <w:numPr>
          <w:ilvl w:val="1"/>
          <w:numId w:val="28"/>
        </w:numPr>
        <w:jc w:val="both"/>
        <w:rPr>
          <w:rFonts w:ascii="Calibri" w:hAnsi="Calibri" w:cs="Calibri"/>
          <w:sz w:val="22"/>
          <w:szCs w:val="22"/>
        </w:rPr>
      </w:pPr>
      <w:r w:rsidRPr="001358F5">
        <w:rPr>
          <w:rFonts w:ascii="Calibri" w:hAnsi="Calibri" w:cs="Calibri"/>
          <w:sz w:val="22"/>
          <w:szCs w:val="22"/>
        </w:rPr>
        <w:t>The cost of transport, off-loading, and positioning of equipment and stock supplied are excluded unless expressly stated in writing.</w:t>
      </w:r>
    </w:p>
    <w:p w14:paraId="12ADE9D9" w14:textId="77777777" w:rsidR="00AF294A" w:rsidRDefault="000E1389" w:rsidP="00F75034">
      <w:pPr>
        <w:pStyle w:val="ListParagraph"/>
        <w:numPr>
          <w:ilvl w:val="1"/>
          <w:numId w:val="28"/>
        </w:numPr>
        <w:jc w:val="both"/>
        <w:rPr>
          <w:rFonts w:ascii="Calibri" w:hAnsi="Calibri" w:cs="Calibri"/>
          <w:sz w:val="22"/>
          <w:szCs w:val="22"/>
        </w:rPr>
      </w:pPr>
      <w:r w:rsidRPr="000E1389">
        <w:rPr>
          <w:rFonts w:ascii="Calibri" w:hAnsi="Calibri" w:cs="Calibri"/>
          <w:sz w:val="22"/>
          <w:szCs w:val="22"/>
        </w:rPr>
        <w:t xml:space="preserve">Risk in the goods passes to the purchaser upon acceptance of delivery, whether full payment has been made. </w:t>
      </w:r>
    </w:p>
    <w:p w14:paraId="665BED65" w14:textId="48662BDF" w:rsidR="00F75034" w:rsidRPr="00163634" w:rsidRDefault="000E1389" w:rsidP="00F75034">
      <w:pPr>
        <w:pStyle w:val="ListParagraph"/>
        <w:numPr>
          <w:ilvl w:val="1"/>
          <w:numId w:val="28"/>
        </w:numPr>
        <w:jc w:val="both"/>
        <w:rPr>
          <w:rFonts w:ascii="Calibri" w:hAnsi="Calibri" w:cs="Calibri"/>
          <w:sz w:val="22"/>
          <w:szCs w:val="22"/>
        </w:rPr>
      </w:pPr>
      <w:r w:rsidRPr="000E1389">
        <w:rPr>
          <w:rFonts w:ascii="Calibri" w:hAnsi="Calibri" w:cs="Calibri"/>
          <w:sz w:val="22"/>
          <w:szCs w:val="22"/>
        </w:rPr>
        <w:t>Ownership remains vested in ACDC until full payment is received.</w:t>
      </w:r>
    </w:p>
    <w:p w14:paraId="6FAF23EA" w14:textId="77777777" w:rsidR="00F75034" w:rsidRPr="00F75034" w:rsidRDefault="00F75034" w:rsidP="00F75034">
      <w:pPr>
        <w:jc w:val="both"/>
        <w:rPr>
          <w:rFonts w:ascii="Calibri" w:hAnsi="Calibri" w:cs="Calibri"/>
          <w:b/>
          <w:bCs/>
          <w:sz w:val="22"/>
          <w:szCs w:val="22"/>
        </w:rPr>
      </w:pPr>
      <w:r w:rsidRPr="00F75034">
        <w:rPr>
          <w:rFonts w:ascii="Calibri" w:hAnsi="Calibri" w:cs="Calibri"/>
          <w:b/>
          <w:bCs/>
          <w:sz w:val="22"/>
          <w:szCs w:val="22"/>
        </w:rPr>
        <w:t>5. Imported Goods</w:t>
      </w:r>
    </w:p>
    <w:p w14:paraId="2D01BB40" w14:textId="1F26C71E" w:rsidR="00F75034" w:rsidRDefault="00F75034" w:rsidP="00163634">
      <w:pPr>
        <w:pStyle w:val="ListParagraph"/>
        <w:numPr>
          <w:ilvl w:val="1"/>
          <w:numId w:val="30"/>
        </w:numPr>
        <w:jc w:val="both"/>
        <w:rPr>
          <w:rFonts w:ascii="Calibri" w:hAnsi="Calibri" w:cs="Calibri"/>
          <w:sz w:val="22"/>
          <w:szCs w:val="22"/>
        </w:rPr>
      </w:pPr>
      <w:r w:rsidRPr="00163634">
        <w:rPr>
          <w:rFonts w:ascii="Calibri" w:hAnsi="Calibri" w:cs="Calibri"/>
          <w:sz w:val="22"/>
          <w:szCs w:val="22"/>
        </w:rPr>
        <w:t>Delivery times for imported goods are subject to shipping schedules, customs clearance, and other external factors.</w:t>
      </w:r>
    </w:p>
    <w:p w14:paraId="65C4CDED" w14:textId="3987B909" w:rsidR="00F75034" w:rsidRDefault="00F75034" w:rsidP="00F75034">
      <w:pPr>
        <w:pStyle w:val="ListParagraph"/>
        <w:numPr>
          <w:ilvl w:val="1"/>
          <w:numId w:val="30"/>
        </w:numPr>
        <w:jc w:val="both"/>
        <w:rPr>
          <w:rFonts w:ascii="Calibri" w:hAnsi="Calibri" w:cs="Calibri"/>
          <w:sz w:val="22"/>
          <w:szCs w:val="22"/>
        </w:rPr>
      </w:pPr>
      <w:r w:rsidRPr="00163634">
        <w:rPr>
          <w:rFonts w:ascii="Calibri" w:hAnsi="Calibri" w:cs="Calibri"/>
          <w:sz w:val="22"/>
          <w:szCs w:val="22"/>
        </w:rPr>
        <w:t>ACDC shall not be responsible for delays caused by foreign suppliers, shipping lines, or customs authorities.</w:t>
      </w:r>
    </w:p>
    <w:p w14:paraId="4E96C7C6" w14:textId="77777777" w:rsidR="001853D6" w:rsidRPr="001853D6" w:rsidRDefault="001853D6" w:rsidP="001853D6">
      <w:pPr>
        <w:jc w:val="both"/>
        <w:rPr>
          <w:rFonts w:ascii="Calibri" w:hAnsi="Calibri" w:cs="Calibri"/>
          <w:sz w:val="22"/>
          <w:szCs w:val="22"/>
        </w:rPr>
      </w:pPr>
    </w:p>
    <w:p w14:paraId="1F7EA849" w14:textId="77777777" w:rsidR="00163634" w:rsidRPr="003C0349" w:rsidRDefault="00F75034" w:rsidP="00F75034">
      <w:pPr>
        <w:jc w:val="both"/>
        <w:rPr>
          <w:rFonts w:ascii="Calibri" w:hAnsi="Calibri" w:cs="Calibri"/>
          <w:b/>
          <w:bCs/>
          <w:sz w:val="22"/>
          <w:szCs w:val="22"/>
        </w:rPr>
      </w:pPr>
      <w:r w:rsidRPr="00F75034">
        <w:rPr>
          <w:rFonts w:ascii="Calibri" w:hAnsi="Calibri" w:cs="Calibri"/>
          <w:b/>
          <w:bCs/>
          <w:sz w:val="22"/>
          <w:szCs w:val="22"/>
        </w:rPr>
        <w:lastRenderedPageBreak/>
        <w:t>6</w:t>
      </w:r>
      <w:r w:rsidRPr="003C0349">
        <w:rPr>
          <w:rFonts w:ascii="Calibri" w:hAnsi="Calibri" w:cs="Calibri"/>
          <w:b/>
          <w:bCs/>
          <w:sz w:val="22"/>
          <w:szCs w:val="22"/>
        </w:rPr>
        <w:t>. Warranty</w:t>
      </w:r>
    </w:p>
    <w:p w14:paraId="53FD925A" w14:textId="15DC57B7" w:rsidR="00F75034" w:rsidRPr="003C0349" w:rsidRDefault="00922788" w:rsidP="00E52DE7">
      <w:pPr>
        <w:pStyle w:val="ListParagraph"/>
        <w:numPr>
          <w:ilvl w:val="1"/>
          <w:numId w:val="32"/>
        </w:numPr>
        <w:jc w:val="both"/>
        <w:rPr>
          <w:rFonts w:ascii="Calibri" w:hAnsi="Calibri" w:cs="Calibri"/>
          <w:b/>
          <w:bCs/>
          <w:sz w:val="22"/>
          <w:szCs w:val="22"/>
        </w:rPr>
      </w:pPr>
      <w:r w:rsidRPr="00922788">
        <w:rPr>
          <w:rFonts w:ascii="Calibri" w:hAnsi="Calibri" w:cs="Calibri"/>
          <w:sz w:val="22"/>
          <w:szCs w:val="22"/>
        </w:rPr>
        <w:t>All goods supplied by ACDC carry a minimum implied warranty of quality for six (6) months from the date of delivery. Where a longer manufacturer’s warranty applies, such warranty shall run concurrently with the statutory implied warranty during the initial six (6) month period</w:t>
      </w:r>
      <w:r>
        <w:rPr>
          <w:rFonts w:ascii="Calibri" w:hAnsi="Calibri" w:cs="Calibri"/>
          <w:sz w:val="22"/>
          <w:szCs w:val="22"/>
        </w:rPr>
        <w:t xml:space="preserve">. It shall </w:t>
      </w:r>
      <w:r w:rsidRPr="00922788">
        <w:rPr>
          <w:rFonts w:ascii="Calibri" w:hAnsi="Calibri" w:cs="Calibri"/>
          <w:sz w:val="22"/>
          <w:szCs w:val="22"/>
        </w:rPr>
        <w:t>continue thereafter strictly in accordance with the manufacturer’s warranty conditions. Nothing in this clause limits or excludes any rights that consumers may have under applicable consumer protection laws in the country of purchase.</w:t>
      </w:r>
    </w:p>
    <w:p w14:paraId="41E46EEC" w14:textId="3C5200B3" w:rsidR="00F75034" w:rsidRPr="003C0349" w:rsidRDefault="00F75034" w:rsidP="00F75034">
      <w:pPr>
        <w:pStyle w:val="ListParagraph"/>
        <w:numPr>
          <w:ilvl w:val="1"/>
          <w:numId w:val="32"/>
        </w:numPr>
        <w:jc w:val="both"/>
        <w:rPr>
          <w:rFonts w:ascii="Calibri" w:hAnsi="Calibri" w:cs="Calibri"/>
          <w:b/>
          <w:bCs/>
          <w:sz w:val="22"/>
          <w:szCs w:val="22"/>
        </w:rPr>
      </w:pPr>
      <w:r w:rsidRPr="003C0349">
        <w:rPr>
          <w:rFonts w:ascii="Calibri" w:hAnsi="Calibri" w:cs="Calibri"/>
          <w:sz w:val="22"/>
          <w:szCs w:val="22"/>
        </w:rPr>
        <w:t>The implied warranty means that goods will be reasonably suitable for their intended purpose, of good quality, in good working order, and free of defects, subject to ordinary wear and tear and proper use.</w:t>
      </w:r>
    </w:p>
    <w:p w14:paraId="7380209C" w14:textId="2617C67A" w:rsidR="00F75034" w:rsidRPr="003C0349" w:rsidRDefault="00F75034" w:rsidP="00F75034">
      <w:pPr>
        <w:pStyle w:val="ListParagraph"/>
        <w:numPr>
          <w:ilvl w:val="1"/>
          <w:numId w:val="32"/>
        </w:numPr>
        <w:jc w:val="both"/>
        <w:rPr>
          <w:rFonts w:ascii="Calibri" w:hAnsi="Calibri" w:cs="Calibri"/>
          <w:b/>
          <w:bCs/>
          <w:sz w:val="22"/>
          <w:szCs w:val="22"/>
        </w:rPr>
      </w:pPr>
      <w:r w:rsidRPr="003C0349">
        <w:rPr>
          <w:rFonts w:ascii="Calibri" w:hAnsi="Calibri" w:cs="Calibri"/>
          <w:sz w:val="22"/>
          <w:szCs w:val="22"/>
        </w:rPr>
        <w:t>If goods fail to meet this standard, the customer may, within six (6) months, return the goods for repair, replacement, or refund at their election.</w:t>
      </w:r>
    </w:p>
    <w:p w14:paraId="156FE873" w14:textId="5566F52A" w:rsidR="00F75034" w:rsidRPr="003C0349" w:rsidRDefault="00F75034" w:rsidP="00F75034">
      <w:pPr>
        <w:pStyle w:val="ListParagraph"/>
        <w:numPr>
          <w:ilvl w:val="1"/>
          <w:numId w:val="32"/>
        </w:numPr>
        <w:jc w:val="both"/>
        <w:rPr>
          <w:rFonts w:ascii="Calibri" w:hAnsi="Calibri" w:cs="Calibri"/>
          <w:b/>
          <w:bCs/>
          <w:sz w:val="22"/>
          <w:szCs w:val="22"/>
        </w:rPr>
      </w:pPr>
      <w:r w:rsidRPr="003C0349">
        <w:rPr>
          <w:rFonts w:ascii="Calibri" w:hAnsi="Calibri" w:cs="Calibri"/>
          <w:sz w:val="22"/>
          <w:szCs w:val="22"/>
        </w:rPr>
        <w:t>Any repair or replacement will carry a further warranty for three (3) months, or the balance of the original six (6) months, whichever is longer.</w:t>
      </w:r>
    </w:p>
    <w:p w14:paraId="74E2A443" w14:textId="5CE19044" w:rsidR="00F75034" w:rsidRPr="00636F76" w:rsidRDefault="00636F76" w:rsidP="00F75034">
      <w:pPr>
        <w:pStyle w:val="ListParagraph"/>
        <w:numPr>
          <w:ilvl w:val="1"/>
          <w:numId w:val="32"/>
        </w:numPr>
        <w:jc w:val="both"/>
        <w:rPr>
          <w:rFonts w:ascii="Calibri" w:hAnsi="Calibri" w:cs="Calibri"/>
          <w:sz w:val="22"/>
          <w:szCs w:val="22"/>
        </w:rPr>
      </w:pPr>
      <w:r w:rsidRPr="003C0349">
        <w:rPr>
          <w:rFonts w:ascii="Calibri" w:hAnsi="Calibri" w:cs="Calibri"/>
          <w:sz w:val="22"/>
          <w:szCs w:val="22"/>
        </w:rPr>
        <w:t>This warranty does</w:t>
      </w:r>
      <w:r w:rsidRPr="00636F76">
        <w:rPr>
          <w:rFonts w:ascii="Calibri" w:hAnsi="Calibri" w:cs="Calibri"/>
          <w:sz w:val="22"/>
          <w:szCs w:val="22"/>
        </w:rPr>
        <w:t xml:space="preserve"> not cover misuse, negligence, unauthorised alterations, or failure to follow instructions. Nothing in this clause limits consumer rights under applicable consumer protection laws.</w:t>
      </w:r>
    </w:p>
    <w:p w14:paraId="35C487C4" w14:textId="77777777" w:rsidR="00F75034" w:rsidRPr="00F75034" w:rsidRDefault="00F75034" w:rsidP="00F75034">
      <w:pPr>
        <w:jc w:val="both"/>
        <w:rPr>
          <w:rFonts w:ascii="Calibri" w:hAnsi="Calibri" w:cs="Calibri"/>
          <w:b/>
          <w:bCs/>
          <w:sz w:val="22"/>
          <w:szCs w:val="22"/>
        </w:rPr>
      </w:pPr>
      <w:r w:rsidRPr="00F75034">
        <w:rPr>
          <w:rFonts w:ascii="Calibri" w:hAnsi="Calibri" w:cs="Calibri"/>
          <w:b/>
          <w:bCs/>
          <w:sz w:val="22"/>
          <w:szCs w:val="22"/>
        </w:rPr>
        <w:t>7. Returns and Refunds</w:t>
      </w:r>
    </w:p>
    <w:p w14:paraId="230CB74E" w14:textId="26A0E8DE" w:rsidR="001661F3" w:rsidRDefault="00274DA9" w:rsidP="00A02859">
      <w:pPr>
        <w:pStyle w:val="ListParagraph"/>
        <w:numPr>
          <w:ilvl w:val="1"/>
          <w:numId w:val="34"/>
        </w:numPr>
        <w:jc w:val="both"/>
        <w:rPr>
          <w:rFonts w:ascii="Calibri" w:hAnsi="Calibri" w:cs="Calibri"/>
          <w:sz w:val="22"/>
          <w:szCs w:val="22"/>
        </w:rPr>
      </w:pPr>
      <w:r w:rsidRPr="00274DA9">
        <w:rPr>
          <w:rFonts w:ascii="Calibri" w:hAnsi="Calibri" w:cs="Calibri"/>
          <w:sz w:val="22"/>
          <w:szCs w:val="22"/>
        </w:rPr>
        <w:t>All returns must be accompanied by the original invoice, which shall serve as proof of purchase.</w:t>
      </w:r>
    </w:p>
    <w:p w14:paraId="20559B72" w14:textId="48C8B7DF" w:rsidR="008541BD" w:rsidRPr="008541BD" w:rsidRDefault="00F75034" w:rsidP="008541BD">
      <w:pPr>
        <w:pStyle w:val="ListParagraph"/>
        <w:numPr>
          <w:ilvl w:val="1"/>
          <w:numId w:val="34"/>
        </w:numPr>
        <w:jc w:val="both"/>
        <w:rPr>
          <w:rFonts w:ascii="Calibri" w:hAnsi="Calibri" w:cs="Calibri"/>
          <w:sz w:val="22"/>
          <w:szCs w:val="22"/>
        </w:rPr>
      </w:pPr>
      <w:r w:rsidRPr="00A02859">
        <w:rPr>
          <w:rFonts w:ascii="Calibri" w:hAnsi="Calibri" w:cs="Calibri"/>
          <w:sz w:val="22"/>
          <w:szCs w:val="22"/>
        </w:rPr>
        <w:t>Claims for supply errors, missing items, or goods received in a damaged condition must be reported immediately in-store</w:t>
      </w:r>
      <w:r w:rsidR="00824756">
        <w:rPr>
          <w:rFonts w:ascii="Calibri" w:hAnsi="Calibri" w:cs="Calibri"/>
          <w:sz w:val="22"/>
          <w:szCs w:val="22"/>
        </w:rPr>
        <w:t xml:space="preserve">, or </w:t>
      </w:r>
      <w:r w:rsidR="00824756" w:rsidRPr="00824756">
        <w:rPr>
          <w:rFonts w:ascii="Calibri" w:hAnsi="Calibri" w:cs="Calibri"/>
          <w:i/>
          <w:iCs/>
          <w:sz w:val="22"/>
          <w:szCs w:val="22"/>
        </w:rPr>
        <w:t>vi</w:t>
      </w:r>
      <w:r w:rsidR="008541BD">
        <w:rPr>
          <w:rFonts w:ascii="Calibri" w:hAnsi="Calibri" w:cs="Calibri"/>
          <w:i/>
          <w:iCs/>
          <w:sz w:val="22"/>
          <w:szCs w:val="22"/>
        </w:rPr>
        <w:t xml:space="preserve">a </w:t>
      </w:r>
      <w:hyperlink r:id="rId7" w:history="1">
        <w:r w:rsidR="008541BD" w:rsidRPr="00CC2204">
          <w:rPr>
            <w:rStyle w:val="Hyperlink"/>
            <w:rFonts w:ascii="Calibri" w:hAnsi="Calibri" w:cs="Calibri"/>
            <w:sz w:val="22"/>
            <w:szCs w:val="22"/>
          </w:rPr>
          <w:t>www.acdcexpress.com</w:t>
        </w:r>
      </w:hyperlink>
      <w:r w:rsidR="008541BD">
        <w:rPr>
          <w:rFonts w:ascii="Calibri" w:hAnsi="Calibri" w:cs="Calibri"/>
          <w:sz w:val="22"/>
          <w:szCs w:val="22"/>
        </w:rPr>
        <w:t xml:space="preserve"> </w:t>
      </w:r>
    </w:p>
    <w:p w14:paraId="0974CBBB" w14:textId="444BB827" w:rsidR="00F75034" w:rsidRDefault="00F75034" w:rsidP="00F75034">
      <w:pPr>
        <w:pStyle w:val="ListParagraph"/>
        <w:numPr>
          <w:ilvl w:val="1"/>
          <w:numId w:val="34"/>
        </w:numPr>
        <w:jc w:val="both"/>
        <w:rPr>
          <w:rFonts w:ascii="Calibri" w:hAnsi="Calibri" w:cs="Calibri"/>
          <w:sz w:val="22"/>
          <w:szCs w:val="22"/>
        </w:rPr>
      </w:pPr>
      <w:r w:rsidRPr="00A02859">
        <w:rPr>
          <w:rFonts w:ascii="Calibri" w:hAnsi="Calibri" w:cs="Calibri"/>
          <w:sz w:val="22"/>
          <w:szCs w:val="22"/>
        </w:rPr>
        <w:t>ACDC reserves the right to inspect returned goods before approving any repair, replacement, or refund.</w:t>
      </w:r>
    </w:p>
    <w:p w14:paraId="5C8BA025" w14:textId="77777777" w:rsidR="00ED713E" w:rsidRDefault="00F75034" w:rsidP="00AC1FE9">
      <w:pPr>
        <w:pStyle w:val="ListParagraph"/>
        <w:numPr>
          <w:ilvl w:val="1"/>
          <w:numId w:val="34"/>
        </w:numPr>
        <w:jc w:val="both"/>
        <w:rPr>
          <w:rFonts w:ascii="Calibri" w:hAnsi="Calibri" w:cs="Calibri"/>
          <w:sz w:val="22"/>
          <w:szCs w:val="22"/>
        </w:rPr>
      </w:pPr>
      <w:r w:rsidRPr="00A02859">
        <w:rPr>
          <w:rFonts w:ascii="Calibri" w:hAnsi="Calibri" w:cs="Calibri"/>
          <w:sz w:val="22"/>
          <w:szCs w:val="22"/>
        </w:rPr>
        <w:t xml:space="preserve">Goods not meeting return requirements or found to have been misused </w:t>
      </w:r>
      <w:r w:rsidR="00C53807">
        <w:rPr>
          <w:rFonts w:ascii="Calibri" w:hAnsi="Calibri" w:cs="Calibri"/>
          <w:sz w:val="22"/>
          <w:szCs w:val="22"/>
        </w:rPr>
        <w:t xml:space="preserve">will not be considered for a return </w:t>
      </w:r>
      <w:r w:rsidR="00D36E78">
        <w:rPr>
          <w:rFonts w:ascii="Calibri" w:hAnsi="Calibri" w:cs="Calibri"/>
          <w:sz w:val="22"/>
          <w:szCs w:val="22"/>
        </w:rPr>
        <w:t>or refund</w:t>
      </w:r>
      <w:r w:rsidR="00ED713E">
        <w:rPr>
          <w:rFonts w:ascii="Calibri" w:hAnsi="Calibri" w:cs="Calibri"/>
          <w:sz w:val="22"/>
          <w:szCs w:val="22"/>
        </w:rPr>
        <w:t>.</w:t>
      </w:r>
    </w:p>
    <w:p w14:paraId="203DC254" w14:textId="10913B00" w:rsidR="00F75034" w:rsidRPr="00AC1FE9" w:rsidRDefault="00ED713E" w:rsidP="00AC1FE9">
      <w:pPr>
        <w:pStyle w:val="ListParagraph"/>
        <w:numPr>
          <w:ilvl w:val="1"/>
          <w:numId w:val="34"/>
        </w:numPr>
        <w:jc w:val="both"/>
        <w:rPr>
          <w:rFonts w:ascii="Calibri" w:hAnsi="Calibri" w:cs="Calibri"/>
          <w:sz w:val="22"/>
          <w:szCs w:val="22"/>
        </w:rPr>
      </w:pPr>
      <w:r>
        <w:rPr>
          <w:rFonts w:ascii="Calibri" w:hAnsi="Calibri" w:cs="Calibri"/>
          <w:sz w:val="22"/>
          <w:szCs w:val="22"/>
        </w:rPr>
        <w:t xml:space="preserve">Goods that don’t qualify for a return or refund </w:t>
      </w:r>
      <w:r w:rsidR="00AC1FE9">
        <w:rPr>
          <w:rFonts w:ascii="Calibri" w:hAnsi="Calibri" w:cs="Calibri"/>
          <w:sz w:val="22"/>
          <w:szCs w:val="22"/>
        </w:rPr>
        <w:t>shall be</w:t>
      </w:r>
      <w:r w:rsidR="00F75034" w:rsidRPr="00AC1FE9">
        <w:rPr>
          <w:rFonts w:ascii="Calibri" w:hAnsi="Calibri" w:cs="Calibri"/>
          <w:sz w:val="22"/>
          <w:szCs w:val="22"/>
        </w:rPr>
        <w:t xml:space="preserve"> returned to the customer at the</w:t>
      </w:r>
      <w:r w:rsidR="00AC1FE9">
        <w:rPr>
          <w:rFonts w:ascii="Calibri" w:hAnsi="Calibri" w:cs="Calibri"/>
          <w:sz w:val="22"/>
          <w:szCs w:val="22"/>
        </w:rPr>
        <w:t xml:space="preserve"> customer's</w:t>
      </w:r>
      <w:r w:rsidR="00F75034" w:rsidRPr="00AC1FE9">
        <w:rPr>
          <w:rFonts w:ascii="Calibri" w:hAnsi="Calibri" w:cs="Calibri"/>
          <w:sz w:val="22"/>
          <w:szCs w:val="22"/>
        </w:rPr>
        <w:t xml:space="preserve"> expense.</w:t>
      </w:r>
    </w:p>
    <w:p w14:paraId="7C54C75C" w14:textId="77777777" w:rsidR="00F75034" w:rsidRDefault="00F75034" w:rsidP="00F75034">
      <w:pPr>
        <w:jc w:val="both"/>
        <w:rPr>
          <w:rFonts w:ascii="Calibri" w:hAnsi="Calibri" w:cs="Calibri"/>
          <w:b/>
          <w:bCs/>
          <w:sz w:val="22"/>
          <w:szCs w:val="22"/>
        </w:rPr>
      </w:pPr>
      <w:r w:rsidRPr="00454509">
        <w:rPr>
          <w:rFonts w:ascii="Calibri" w:hAnsi="Calibri" w:cs="Calibri"/>
          <w:b/>
          <w:bCs/>
          <w:sz w:val="22"/>
          <w:szCs w:val="22"/>
        </w:rPr>
        <w:t>8. Pricing Discrepancies</w:t>
      </w:r>
    </w:p>
    <w:p w14:paraId="4BC5A1EE" w14:textId="313962BF" w:rsidR="004A0E30" w:rsidRPr="004A0E30" w:rsidRDefault="004A0E30" w:rsidP="004A0E30">
      <w:pPr>
        <w:pStyle w:val="ListParagraph"/>
        <w:numPr>
          <w:ilvl w:val="1"/>
          <w:numId w:val="41"/>
        </w:numPr>
        <w:jc w:val="both"/>
        <w:rPr>
          <w:rFonts w:ascii="Calibri" w:hAnsi="Calibri" w:cs="Calibri"/>
          <w:sz w:val="22"/>
          <w:szCs w:val="22"/>
        </w:rPr>
      </w:pPr>
      <w:r w:rsidRPr="004A0E30">
        <w:rPr>
          <w:rFonts w:ascii="Calibri" w:hAnsi="Calibri" w:cs="Calibri"/>
          <w:sz w:val="22"/>
          <w:szCs w:val="22"/>
        </w:rPr>
        <w:t>The purpose of this clause is to regulate how ACDC addresses pricing discrepancies between displayed prices and prices charged at the point of sale.</w:t>
      </w:r>
    </w:p>
    <w:p w14:paraId="77E203FF" w14:textId="00F0110C" w:rsidR="004A0E30" w:rsidRPr="004A0E30" w:rsidRDefault="004A0E30" w:rsidP="004A0E30">
      <w:pPr>
        <w:pStyle w:val="ListParagraph"/>
        <w:numPr>
          <w:ilvl w:val="1"/>
          <w:numId w:val="41"/>
        </w:numPr>
        <w:jc w:val="both"/>
        <w:rPr>
          <w:rFonts w:ascii="Calibri" w:hAnsi="Calibri" w:cs="Calibri"/>
          <w:sz w:val="22"/>
          <w:szCs w:val="22"/>
        </w:rPr>
      </w:pPr>
      <w:r w:rsidRPr="004A0E30">
        <w:rPr>
          <w:rFonts w:ascii="Calibri" w:hAnsi="Calibri" w:cs="Calibri"/>
          <w:sz w:val="22"/>
          <w:szCs w:val="22"/>
        </w:rPr>
        <w:t>ACDC undertakes every reasonable effort to ensure that prices displayed in-store, online, and in promotional material are accurate at the time of publication.</w:t>
      </w:r>
    </w:p>
    <w:p w14:paraId="34C033FD" w14:textId="6839BC97" w:rsidR="004A0E30" w:rsidRPr="004A0E30" w:rsidRDefault="004A0E30" w:rsidP="004A0E30">
      <w:pPr>
        <w:pStyle w:val="ListParagraph"/>
        <w:numPr>
          <w:ilvl w:val="1"/>
          <w:numId w:val="41"/>
        </w:numPr>
        <w:jc w:val="both"/>
        <w:rPr>
          <w:rFonts w:ascii="Calibri" w:hAnsi="Calibri" w:cs="Calibri"/>
          <w:sz w:val="22"/>
          <w:szCs w:val="22"/>
        </w:rPr>
      </w:pPr>
      <w:r w:rsidRPr="004A0E30">
        <w:rPr>
          <w:rFonts w:ascii="Calibri" w:hAnsi="Calibri" w:cs="Calibri"/>
          <w:sz w:val="22"/>
          <w:szCs w:val="22"/>
        </w:rPr>
        <w:t>Databases and systems are updated on a scheduled basis to reduce the risk of errors, but technical and operational factors may still result in discrepancies.</w:t>
      </w:r>
    </w:p>
    <w:p w14:paraId="4C974F8B" w14:textId="42FC5A92" w:rsidR="004A0E30" w:rsidRPr="004A0E30" w:rsidRDefault="004A0E30" w:rsidP="004A0E30">
      <w:pPr>
        <w:pStyle w:val="ListParagraph"/>
        <w:numPr>
          <w:ilvl w:val="1"/>
          <w:numId w:val="41"/>
        </w:numPr>
        <w:jc w:val="both"/>
        <w:rPr>
          <w:rFonts w:ascii="Calibri" w:hAnsi="Calibri" w:cs="Calibri"/>
          <w:sz w:val="22"/>
          <w:szCs w:val="22"/>
        </w:rPr>
      </w:pPr>
      <w:r w:rsidRPr="004A0E30">
        <w:rPr>
          <w:rFonts w:ascii="Calibri" w:hAnsi="Calibri" w:cs="Calibri"/>
          <w:sz w:val="22"/>
          <w:szCs w:val="22"/>
        </w:rPr>
        <w:t>ACDC reserves the right to confirm the final price at the point of sale before concluding any transaction.</w:t>
      </w:r>
    </w:p>
    <w:p w14:paraId="63D37125" w14:textId="3849DE5B" w:rsidR="004A0E30" w:rsidRPr="004A0E30" w:rsidRDefault="004A0E30" w:rsidP="004A0E30">
      <w:pPr>
        <w:pStyle w:val="ListParagraph"/>
        <w:numPr>
          <w:ilvl w:val="1"/>
          <w:numId w:val="41"/>
        </w:numPr>
        <w:jc w:val="both"/>
        <w:rPr>
          <w:rFonts w:ascii="Calibri" w:hAnsi="Calibri" w:cs="Calibri"/>
          <w:sz w:val="22"/>
          <w:szCs w:val="22"/>
        </w:rPr>
      </w:pPr>
      <w:r w:rsidRPr="004A0E30">
        <w:rPr>
          <w:rFonts w:ascii="Calibri" w:hAnsi="Calibri" w:cs="Calibri"/>
          <w:sz w:val="22"/>
          <w:szCs w:val="22"/>
        </w:rPr>
        <w:t>ACDC reserves the right to decline to honour obviously incorrect prices that a reasonable consumer would recognise as an error.</w:t>
      </w:r>
    </w:p>
    <w:p w14:paraId="41A876A0" w14:textId="398F5ADE" w:rsidR="004A0E30" w:rsidRPr="004A0E30" w:rsidRDefault="004A0E30" w:rsidP="004A0E30">
      <w:pPr>
        <w:pStyle w:val="ListParagraph"/>
        <w:numPr>
          <w:ilvl w:val="1"/>
          <w:numId w:val="41"/>
        </w:numPr>
        <w:jc w:val="both"/>
        <w:rPr>
          <w:rFonts w:ascii="Calibri" w:hAnsi="Calibri" w:cs="Calibri"/>
          <w:sz w:val="22"/>
          <w:szCs w:val="22"/>
        </w:rPr>
      </w:pPr>
      <w:r w:rsidRPr="004A0E30">
        <w:rPr>
          <w:rFonts w:ascii="Calibri" w:hAnsi="Calibri" w:cs="Calibri"/>
          <w:sz w:val="22"/>
          <w:szCs w:val="22"/>
        </w:rPr>
        <w:t>ACDC reserves the right to adjust displayed prices without prior notice where system corrections are required, subject always to applicable consumer protection laws in the country of purchase.</w:t>
      </w:r>
    </w:p>
    <w:p w14:paraId="76DBBE53" w14:textId="48FDFE31" w:rsidR="004A0E30" w:rsidRPr="004A0E30" w:rsidRDefault="004A0E30" w:rsidP="004A0E30">
      <w:pPr>
        <w:pStyle w:val="ListParagraph"/>
        <w:numPr>
          <w:ilvl w:val="1"/>
          <w:numId w:val="41"/>
        </w:numPr>
        <w:jc w:val="both"/>
        <w:rPr>
          <w:rFonts w:ascii="Calibri" w:hAnsi="Calibri" w:cs="Calibri"/>
          <w:sz w:val="22"/>
          <w:szCs w:val="22"/>
        </w:rPr>
      </w:pPr>
      <w:r w:rsidRPr="004A0E30">
        <w:rPr>
          <w:rFonts w:ascii="Calibri" w:hAnsi="Calibri" w:cs="Calibri"/>
          <w:sz w:val="22"/>
          <w:szCs w:val="22"/>
        </w:rPr>
        <w:t>Where the system price is higher than the displayed price, the customer will be informed and may elect not to proceed with the transaction without any penalty.</w:t>
      </w:r>
    </w:p>
    <w:p w14:paraId="67216D10" w14:textId="721FFD1A" w:rsidR="004A0E30" w:rsidRPr="004A0E30" w:rsidRDefault="004A0E30" w:rsidP="004A0E30">
      <w:pPr>
        <w:pStyle w:val="ListParagraph"/>
        <w:numPr>
          <w:ilvl w:val="1"/>
          <w:numId w:val="41"/>
        </w:numPr>
        <w:jc w:val="both"/>
        <w:rPr>
          <w:rFonts w:ascii="Calibri" w:hAnsi="Calibri" w:cs="Calibri"/>
          <w:sz w:val="22"/>
          <w:szCs w:val="22"/>
        </w:rPr>
      </w:pPr>
      <w:r w:rsidRPr="004A0E30">
        <w:rPr>
          <w:rFonts w:ascii="Calibri" w:hAnsi="Calibri" w:cs="Calibri"/>
          <w:sz w:val="22"/>
          <w:szCs w:val="22"/>
        </w:rPr>
        <w:lastRenderedPageBreak/>
        <w:t>Where the system price is lower than the displayed price, the lower price shall apply.</w:t>
      </w:r>
    </w:p>
    <w:p w14:paraId="0861E2D8" w14:textId="477410DF" w:rsidR="004A0E30" w:rsidRDefault="004A0E30" w:rsidP="004A0E30">
      <w:pPr>
        <w:pStyle w:val="ListParagraph"/>
        <w:numPr>
          <w:ilvl w:val="1"/>
          <w:numId w:val="41"/>
        </w:numPr>
        <w:jc w:val="both"/>
        <w:rPr>
          <w:rFonts w:ascii="Calibri" w:hAnsi="Calibri" w:cs="Calibri"/>
          <w:sz w:val="22"/>
          <w:szCs w:val="22"/>
        </w:rPr>
      </w:pPr>
      <w:r w:rsidRPr="004A0E30">
        <w:rPr>
          <w:rFonts w:ascii="Calibri" w:hAnsi="Calibri" w:cs="Calibri"/>
          <w:sz w:val="22"/>
          <w:szCs w:val="22"/>
        </w:rPr>
        <w:t>A transaction will only be concluded once both parties agree on the final price as determined by the point-of-sale system.</w:t>
      </w:r>
    </w:p>
    <w:p w14:paraId="47B3E92B" w14:textId="588EA6BB" w:rsidR="004A0E30" w:rsidRPr="004A0E30" w:rsidRDefault="004A0E30" w:rsidP="004A0E30">
      <w:pPr>
        <w:pStyle w:val="ListParagraph"/>
        <w:numPr>
          <w:ilvl w:val="1"/>
          <w:numId w:val="41"/>
        </w:numPr>
        <w:jc w:val="both"/>
        <w:rPr>
          <w:rFonts w:ascii="Calibri" w:hAnsi="Calibri" w:cs="Calibri"/>
          <w:sz w:val="22"/>
          <w:szCs w:val="22"/>
        </w:rPr>
      </w:pPr>
      <w:r w:rsidRPr="004A0E30">
        <w:rPr>
          <w:rFonts w:ascii="Calibri" w:hAnsi="Calibri" w:cs="Calibri"/>
          <w:sz w:val="22"/>
          <w:szCs w:val="22"/>
        </w:rPr>
        <w:t>Nothing in this clause limits or excludes any rights conferred on consumers under applicable consumer protection laws in the country of purchase.</w:t>
      </w:r>
    </w:p>
    <w:p w14:paraId="5C874BB0" w14:textId="2E5D2DD4" w:rsidR="00F75034" w:rsidRPr="004A0E30" w:rsidRDefault="00F75034" w:rsidP="004A0E30">
      <w:pPr>
        <w:jc w:val="both"/>
        <w:rPr>
          <w:rFonts w:ascii="Calibri" w:hAnsi="Calibri" w:cs="Calibri"/>
          <w:b/>
          <w:bCs/>
          <w:sz w:val="22"/>
          <w:szCs w:val="22"/>
        </w:rPr>
      </w:pPr>
      <w:r w:rsidRPr="004A0E30">
        <w:rPr>
          <w:rFonts w:ascii="Calibri" w:hAnsi="Calibri" w:cs="Calibri"/>
          <w:b/>
          <w:bCs/>
          <w:sz w:val="22"/>
          <w:szCs w:val="22"/>
        </w:rPr>
        <w:t>9. Limitation of Liability</w:t>
      </w:r>
    </w:p>
    <w:p w14:paraId="48FD7604" w14:textId="3E7846D1" w:rsidR="00F75034" w:rsidRPr="0075146A" w:rsidRDefault="00C828B5" w:rsidP="0075146A">
      <w:pPr>
        <w:pStyle w:val="ListParagraph"/>
        <w:numPr>
          <w:ilvl w:val="1"/>
          <w:numId w:val="42"/>
        </w:numPr>
        <w:jc w:val="both"/>
        <w:rPr>
          <w:rFonts w:ascii="Calibri" w:hAnsi="Calibri" w:cs="Calibri"/>
          <w:sz w:val="22"/>
          <w:szCs w:val="22"/>
        </w:rPr>
      </w:pPr>
      <w:r w:rsidRPr="00C828B5">
        <w:rPr>
          <w:rFonts w:ascii="Calibri" w:hAnsi="Calibri" w:cs="Calibri"/>
          <w:sz w:val="22"/>
          <w:szCs w:val="22"/>
        </w:rPr>
        <w:t>Except where otherwise provided by applicable consumer protection laws, ACDC shall not be liable for indirect, incidental, or consequential damages arising from the use or supply of goods.</w:t>
      </w:r>
    </w:p>
    <w:p w14:paraId="3EA55317" w14:textId="77777777" w:rsidR="00F75034" w:rsidRPr="00454509" w:rsidRDefault="00F75034" w:rsidP="00F75034">
      <w:pPr>
        <w:jc w:val="both"/>
        <w:rPr>
          <w:rFonts w:ascii="Calibri" w:hAnsi="Calibri" w:cs="Calibri"/>
          <w:b/>
          <w:bCs/>
          <w:sz w:val="22"/>
          <w:szCs w:val="22"/>
        </w:rPr>
      </w:pPr>
      <w:r w:rsidRPr="00454509">
        <w:rPr>
          <w:rFonts w:ascii="Calibri" w:hAnsi="Calibri" w:cs="Calibri"/>
          <w:b/>
          <w:bCs/>
          <w:sz w:val="22"/>
          <w:szCs w:val="22"/>
        </w:rPr>
        <w:t>10. Governing Law</w:t>
      </w:r>
    </w:p>
    <w:p w14:paraId="677178D0" w14:textId="0FFFF7F9" w:rsidR="00F75034" w:rsidRDefault="00825364" w:rsidP="00423B23">
      <w:pPr>
        <w:pStyle w:val="ListParagraph"/>
        <w:numPr>
          <w:ilvl w:val="1"/>
          <w:numId w:val="39"/>
        </w:numPr>
        <w:jc w:val="both"/>
        <w:rPr>
          <w:rFonts w:ascii="Calibri" w:hAnsi="Calibri" w:cs="Calibri"/>
          <w:sz w:val="22"/>
          <w:szCs w:val="22"/>
        </w:rPr>
      </w:pPr>
      <w:r w:rsidRPr="00825364">
        <w:rPr>
          <w:rFonts w:ascii="Calibri" w:hAnsi="Calibri" w:cs="Calibri"/>
          <w:sz w:val="22"/>
          <w:szCs w:val="22"/>
        </w:rPr>
        <w:t xml:space="preserve">These Terms and Conditions are governed by the laws of the country in which the store of purchase is located.  </w:t>
      </w:r>
    </w:p>
    <w:p w14:paraId="57D98F12" w14:textId="0560BDC1" w:rsidR="00D34A4E" w:rsidRPr="003A10BC" w:rsidRDefault="008E51CD" w:rsidP="003A10BC">
      <w:pPr>
        <w:pStyle w:val="ListParagraph"/>
        <w:numPr>
          <w:ilvl w:val="1"/>
          <w:numId w:val="39"/>
        </w:numPr>
        <w:jc w:val="both"/>
        <w:rPr>
          <w:rFonts w:ascii="Calibri" w:hAnsi="Calibri" w:cs="Calibri"/>
          <w:sz w:val="22"/>
          <w:szCs w:val="22"/>
        </w:rPr>
      </w:pPr>
      <w:r w:rsidRPr="008E51CD">
        <w:rPr>
          <w:rFonts w:ascii="Calibri" w:hAnsi="Calibri" w:cs="Calibri"/>
          <w:sz w:val="22"/>
          <w:szCs w:val="22"/>
        </w:rPr>
        <w:t xml:space="preserve">Any disputes arising shall first be raised with ACDC through its internal customer service process. If the dispute cannot be resolved internally, it shall then be referred to the recognised consumer protection authority or </w:t>
      </w:r>
      <w:r>
        <w:rPr>
          <w:rFonts w:ascii="Calibri" w:hAnsi="Calibri" w:cs="Calibri"/>
          <w:sz w:val="22"/>
          <w:szCs w:val="22"/>
        </w:rPr>
        <w:t>an equivalent ombudsman in the country of purchase. Failing this,</w:t>
      </w:r>
      <w:r w:rsidRPr="008E51CD">
        <w:rPr>
          <w:rFonts w:ascii="Calibri" w:hAnsi="Calibri" w:cs="Calibri"/>
          <w:sz w:val="22"/>
          <w:szCs w:val="22"/>
        </w:rPr>
        <w:t xml:space="preserve"> it shall be resolved in the courts of that country.</w:t>
      </w:r>
    </w:p>
    <w:p w14:paraId="77048AE7" w14:textId="77777777" w:rsidR="00D34A4E" w:rsidRPr="00F75034" w:rsidRDefault="00D34A4E" w:rsidP="00F64DFF">
      <w:pPr>
        <w:jc w:val="both"/>
        <w:rPr>
          <w:rFonts w:ascii="Calibri" w:hAnsi="Calibri" w:cs="Calibri"/>
          <w:sz w:val="22"/>
          <w:szCs w:val="22"/>
        </w:rPr>
      </w:pPr>
    </w:p>
    <w:sectPr w:rsidR="00D34A4E" w:rsidRPr="00F7503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10A3" w14:textId="77777777" w:rsidR="00BF0A92" w:rsidRDefault="00BF0A92" w:rsidP="00F64DFF">
      <w:pPr>
        <w:spacing w:after="0" w:line="240" w:lineRule="auto"/>
      </w:pPr>
      <w:r>
        <w:separator/>
      </w:r>
    </w:p>
  </w:endnote>
  <w:endnote w:type="continuationSeparator" w:id="0">
    <w:p w14:paraId="4AABCD93" w14:textId="77777777" w:rsidR="00BF0A92" w:rsidRDefault="00BF0A92" w:rsidP="00F6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8743" w14:textId="0973FF4F" w:rsidR="00F64DFF" w:rsidRPr="00F64DFF" w:rsidRDefault="00F64DFF">
    <w:pPr>
      <w:pStyle w:val="Footer"/>
      <w:rPr>
        <w:rFonts w:ascii="Calibri" w:hAnsi="Calibri" w:cs="Calibri"/>
        <w:sz w:val="20"/>
        <w:szCs w:val="20"/>
      </w:rPr>
    </w:pPr>
    <w:r w:rsidRPr="00F64DFF">
      <w:rPr>
        <w:rFonts w:ascii="Calibri" w:hAnsi="Calibri" w:cs="Calibri"/>
        <w:sz w:val="20"/>
        <w:szCs w:val="20"/>
      </w:rPr>
      <w:t>Effective October 2025</w:t>
    </w:r>
  </w:p>
  <w:p w14:paraId="447738E2" w14:textId="77777777" w:rsidR="00F64DFF" w:rsidRDefault="00F6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77EE" w14:textId="77777777" w:rsidR="00BF0A92" w:rsidRDefault="00BF0A92" w:rsidP="00F64DFF">
      <w:pPr>
        <w:spacing w:after="0" w:line="240" w:lineRule="auto"/>
      </w:pPr>
      <w:r>
        <w:separator/>
      </w:r>
    </w:p>
  </w:footnote>
  <w:footnote w:type="continuationSeparator" w:id="0">
    <w:p w14:paraId="71C8071F" w14:textId="77777777" w:rsidR="00BF0A92" w:rsidRDefault="00BF0A92" w:rsidP="00F64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54CE"/>
    <w:multiLevelType w:val="multilevel"/>
    <w:tmpl w:val="65F49E8E"/>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E20F8D"/>
    <w:multiLevelType w:val="multilevel"/>
    <w:tmpl w:val="209A2B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083E24"/>
    <w:multiLevelType w:val="multilevel"/>
    <w:tmpl w:val="209A2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E63E5"/>
    <w:multiLevelType w:val="multilevel"/>
    <w:tmpl w:val="A01A84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5661C0"/>
    <w:multiLevelType w:val="hybridMultilevel"/>
    <w:tmpl w:val="AE5686E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1B9157B"/>
    <w:multiLevelType w:val="multilevel"/>
    <w:tmpl w:val="209A2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F85CEC"/>
    <w:multiLevelType w:val="multilevel"/>
    <w:tmpl w:val="A01A84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4767F3"/>
    <w:multiLevelType w:val="multilevel"/>
    <w:tmpl w:val="65F49E8E"/>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D07403"/>
    <w:multiLevelType w:val="multilevel"/>
    <w:tmpl w:val="E38642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365C6B"/>
    <w:multiLevelType w:val="multilevel"/>
    <w:tmpl w:val="0FD479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4B7B3B"/>
    <w:multiLevelType w:val="multilevel"/>
    <w:tmpl w:val="A01A8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E96E29"/>
    <w:multiLevelType w:val="multilevel"/>
    <w:tmpl w:val="A01A8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3E28B6"/>
    <w:multiLevelType w:val="multilevel"/>
    <w:tmpl w:val="0FD479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4D5BFE"/>
    <w:multiLevelType w:val="multilevel"/>
    <w:tmpl w:val="A01A8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FF313A"/>
    <w:multiLevelType w:val="multilevel"/>
    <w:tmpl w:val="A01A8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691587"/>
    <w:multiLevelType w:val="multilevel"/>
    <w:tmpl w:val="A01A8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E256C98"/>
    <w:multiLevelType w:val="multilevel"/>
    <w:tmpl w:val="A01A8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7B4A57"/>
    <w:multiLevelType w:val="multilevel"/>
    <w:tmpl w:val="A01A84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CE0C4F"/>
    <w:multiLevelType w:val="multilevel"/>
    <w:tmpl w:val="0FD479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FF7661"/>
    <w:multiLevelType w:val="multilevel"/>
    <w:tmpl w:val="A01A8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FF3146B"/>
    <w:multiLevelType w:val="hybridMultilevel"/>
    <w:tmpl w:val="1D94FAA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44F52567"/>
    <w:multiLevelType w:val="multilevel"/>
    <w:tmpl w:val="A01A84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971A23"/>
    <w:multiLevelType w:val="hybridMultilevel"/>
    <w:tmpl w:val="CD54B1C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4E8D5012"/>
    <w:multiLevelType w:val="multilevel"/>
    <w:tmpl w:val="209A2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2017EF"/>
    <w:multiLevelType w:val="multilevel"/>
    <w:tmpl w:val="A9E43ED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0D070ED"/>
    <w:multiLevelType w:val="multilevel"/>
    <w:tmpl w:val="2A2C2FAE"/>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2722C1B"/>
    <w:multiLevelType w:val="multilevel"/>
    <w:tmpl w:val="A01A84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214E88"/>
    <w:multiLevelType w:val="multilevel"/>
    <w:tmpl w:val="0FD479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677A1D"/>
    <w:multiLevelType w:val="multilevel"/>
    <w:tmpl w:val="209A2B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BB7DA5"/>
    <w:multiLevelType w:val="multilevel"/>
    <w:tmpl w:val="A01A84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BA22C7"/>
    <w:multiLevelType w:val="multilevel"/>
    <w:tmpl w:val="A9E43ED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65A83693"/>
    <w:multiLevelType w:val="multilevel"/>
    <w:tmpl w:val="0FD479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727F79"/>
    <w:multiLevelType w:val="multilevel"/>
    <w:tmpl w:val="4DA4EB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A161BB"/>
    <w:multiLevelType w:val="multilevel"/>
    <w:tmpl w:val="209A2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8514F4"/>
    <w:multiLevelType w:val="multilevel"/>
    <w:tmpl w:val="209A2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D45C69"/>
    <w:multiLevelType w:val="multilevel"/>
    <w:tmpl w:val="A01A8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B7653C7"/>
    <w:multiLevelType w:val="multilevel"/>
    <w:tmpl w:val="209A2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A908D3"/>
    <w:multiLevelType w:val="multilevel"/>
    <w:tmpl w:val="A01A8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2EA3D7F"/>
    <w:multiLevelType w:val="multilevel"/>
    <w:tmpl w:val="A01A8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01321A"/>
    <w:multiLevelType w:val="multilevel"/>
    <w:tmpl w:val="02F613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B832809"/>
    <w:multiLevelType w:val="multilevel"/>
    <w:tmpl w:val="A01A84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BF70D9"/>
    <w:multiLevelType w:val="multilevel"/>
    <w:tmpl w:val="A01A84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76257">
    <w:abstractNumId w:val="4"/>
  </w:num>
  <w:num w:numId="2" w16cid:durableId="1790313690">
    <w:abstractNumId w:val="11"/>
  </w:num>
  <w:num w:numId="3" w16cid:durableId="1661932025">
    <w:abstractNumId w:val="13"/>
  </w:num>
  <w:num w:numId="4" w16cid:durableId="468327909">
    <w:abstractNumId w:val="3"/>
  </w:num>
  <w:num w:numId="5" w16cid:durableId="444082996">
    <w:abstractNumId w:val="14"/>
  </w:num>
  <w:num w:numId="6" w16cid:durableId="143401251">
    <w:abstractNumId w:val="6"/>
  </w:num>
  <w:num w:numId="7" w16cid:durableId="19481375">
    <w:abstractNumId w:val="19"/>
  </w:num>
  <w:num w:numId="8" w16cid:durableId="979922230">
    <w:abstractNumId w:val="26"/>
  </w:num>
  <w:num w:numId="9" w16cid:durableId="1205216962">
    <w:abstractNumId w:val="15"/>
  </w:num>
  <w:num w:numId="10" w16cid:durableId="732583069">
    <w:abstractNumId w:val="17"/>
  </w:num>
  <w:num w:numId="11" w16cid:durableId="864833086">
    <w:abstractNumId w:val="38"/>
  </w:num>
  <w:num w:numId="12" w16cid:durableId="501434792">
    <w:abstractNumId w:val="40"/>
  </w:num>
  <w:num w:numId="13" w16cid:durableId="1706514630">
    <w:abstractNumId w:val="35"/>
  </w:num>
  <w:num w:numId="14" w16cid:durableId="660504251">
    <w:abstractNumId w:val="21"/>
  </w:num>
  <w:num w:numId="15" w16cid:durableId="597719926">
    <w:abstractNumId w:val="16"/>
  </w:num>
  <w:num w:numId="16" w16cid:durableId="25448917">
    <w:abstractNumId w:val="29"/>
  </w:num>
  <w:num w:numId="17" w16cid:durableId="576331925">
    <w:abstractNumId w:val="10"/>
  </w:num>
  <w:num w:numId="18" w16cid:durableId="356276967">
    <w:abstractNumId w:val="41"/>
  </w:num>
  <w:num w:numId="19" w16cid:durableId="1609464255">
    <w:abstractNumId w:val="37"/>
  </w:num>
  <w:num w:numId="20" w16cid:durableId="1132821564">
    <w:abstractNumId w:val="25"/>
  </w:num>
  <w:num w:numId="21" w16cid:durableId="1411807101">
    <w:abstractNumId w:val="22"/>
  </w:num>
  <w:num w:numId="22" w16cid:durableId="2114978930">
    <w:abstractNumId w:val="34"/>
  </w:num>
  <w:num w:numId="23" w16cid:durableId="449009072">
    <w:abstractNumId w:val="2"/>
  </w:num>
  <w:num w:numId="24" w16cid:durableId="1510874817">
    <w:abstractNumId w:val="1"/>
  </w:num>
  <w:num w:numId="25" w16cid:durableId="1245720578">
    <w:abstractNumId w:val="36"/>
  </w:num>
  <w:num w:numId="26" w16cid:durableId="1299803648">
    <w:abstractNumId w:val="39"/>
  </w:num>
  <w:num w:numId="27" w16cid:durableId="350496415">
    <w:abstractNumId w:val="23"/>
  </w:num>
  <w:num w:numId="28" w16cid:durableId="1936283520">
    <w:abstractNumId w:val="28"/>
  </w:num>
  <w:num w:numId="29" w16cid:durableId="1268729847">
    <w:abstractNumId w:val="5"/>
  </w:num>
  <w:num w:numId="30" w16cid:durableId="267350379">
    <w:abstractNumId w:val="33"/>
  </w:num>
  <w:num w:numId="31" w16cid:durableId="1416245475">
    <w:abstractNumId w:val="20"/>
  </w:num>
  <w:num w:numId="32" w16cid:durableId="505557434">
    <w:abstractNumId w:val="30"/>
  </w:num>
  <w:num w:numId="33" w16cid:durableId="128059837">
    <w:abstractNumId w:val="24"/>
  </w:num>
  <w:num w:numId="34" w16cid:durableId="1752312099">
    <w:abstractNumId w:val="12"/>
  </w:num>
  <w:num w:numId="35" w16cid:durableId="1349604305">
    <w:abstractNumId w:val="27"/>
  </w:num>
  <w:num w:numId="36" w16cid:durableId="1507207143">
    <w:abstractNumId w:val="18"/>
  </w:num>
  <w:num w:numId="37" w16cid:durableId="1149245335">
    <w:abstractNumId w:val="9"/>
  </w:num>
  <w:num w:numId="38" w16cid:durableId="1805199363">
    <w:abstractNumId w:val="31"/>
  </w:num>
  <w:num w:numId="39" w16cid:durableId="201793040">
    <w:abstractNumId w:val="7"/>
  </w:num>
  <w:num w:numId="40" w16cid:durableId="1650551738">
    <w:abstractNumId w:val="0"/>
  </w:num>
  <w:num w:numId="41" w16cid:durableId="466775363">
    <w:abstractNumId w:val="8"/>
  </w:num>
  <w:num w:numId="42" w16cid:durableId="18794687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FF"/>
    <w:rsid w:val="0005699F"/>
    <w:rsid w:val="000B1B42"/>
    <w:rsid w:val="000E1389"/>
    <w:rsid w:val="00135152"/>
    <w:rsid w:val="001358F5"/>
    <w:rsid w:val="00163634"/>
    <w:rsid w:val="001661F3"/>
    <w:rsid w:val="001853D6"/>
    <w:rsid w:val="00191B0C"/>
    <w:rsid w:val="00193DFB"/>
    <w:rsid w:val="001D59E5"/>
    <w:rsid w:val="00224820"/>
    <w:rsid w:val="002372C7"/>
    <w:rsid w:val="00247C8E"/>
    <w:rsid w:val="00274DA9"/>
    <w:rsid w:val="00280BF9"/>
    <w:rsid w:val="002A0364"/>
    <w:rsid w:val="002B40FD"/>
    <w:rsid w:val="002C74E5"/>
    <w:rsid w:val="002D70F4"/>
    <w:rsid w:val="002E5048"/>
    <w:rsid w:val="00335548"/>
    <w:rsid w:val="00377087"/>
    <w:rsid w:val="003A10BC"/>
    <w:rsid w:val="003B0191"/>
    <w:rsid w:val="003C0349"/>
    <w:rsid w:val="00423B23"/>
    <w:rsid w:val="00454509"/>
    <w:rsid w:val="004A0E30"/>
    <w:rsid w:val="004E1B3E"/>
    <w:rsid w:val="00522CD2"/>
    <w:rsid w:val="005C6484"/>
    <w:rsid w:val="005D41EB"/>
    <w:rsid w:val="00625512"/>
    <w:rsid w:val="00636F76"/>
    <w:rsid w:val="00681BD0"/>
    <w:rsid w:val="0068285E"/>
    <w:rsid w:val="006A680C"/>
    <w:rsid w:val="006E79CD"/>
    <w:rsid w:val="00705644"/>
    <w:rsid w:val="007136B9"/>
    <w:rsid w:val="007159AA"/>
    <w:rsid w:val="0073595B"/>
    <w:rsid w:val="00745D94"/>
    <w:rsid w:val="0075146A"/>
    <w:rsid w:val="00763F87"/>
    <w:rsid w:val="007734BB"/>
    <w:rsid w:val="00783C82"/>
    <w:rsid w:val="007B2419"/>
    <w:rsid w:val="007D5C39"/>
    <w:rsid w:val="00824756"/>
    <w:rsid w:val="00825364"/>
    <w:rsid w:val="008541BD"/>
    <w:rsid w:val="00865A01"/>
    <w:rsid w:val="00874E8B"/>
    <w:rsid w:val="008C3168"/>
    <w:rsid w:val="008E51CD"/>
    <w:rsid w:val="008E7954"/>
    <w:rsid w:val="008F4339"/>
    <w:rsid w:val="00903171"/>
    <w:rsid w:val="009107DD"/>
    <w:rsid w:val="00922788"/>
    <w:rsid w:val="00935C37"/>
    <w:rsid w:val="0095099B"/>
    <w:rsid w:val="009916EA"/>
    <w:rsid w:val="009E58CC"/>
    <w:rsid w:val="00A01771"/>
    <w:rsid w:val="00A02859"/>
    <w:rsid w:val="00A05085"/>
    <w:rsid w:val="00A069E4"/>
    <w:rsid w:val="00A07711"/>
    <w:rsid w:val="00A07853"/>
    <w:rsid w:val="00A215FB"/>
    <w:rsid w:val="00AB3316"/>
    <w:rsid w:val="00AB588E"/>
    <w:rsid w:val="00AC1FE9"/>
    <w:rsid w:val="00AF294A"/>
    <w:rsid w:val="00B20880"/>
    <w:rsid w:val="00B94F4B"/>
    <w:rsid w:val="00B95CBF"/>
    <w:rsid w:val="00BF0A92"/>
    <w:rsid w:val="00C53807"/>
    <w:rsid w:val="00C828B5"/>
    <w:rsid w:val="00CA5D1F"/>
    <w:rsid w:val="00CF595B"/>
    <w:rsid w:val="00D004D1"/>
    <w:rsid w:val="00D00B83"/>
    <w:rsid w:val="00D34A4E"/>
    <w:rsid w:val="00D36E78"/>
    <w:rsid w:val="00D47F1E"/>
    <w:rsid w:val="00D56DCA"/>
    <w:rsid w:val="00D65276"/>
    <w:rsid w:val="00E018DA"/>
    <w:rsid w:val="00E12CE5"/>
    <w:rsid w:val="00E52DE7"/>
    <w:rsid w:val="00ED713E"/>
    <w:rsid w:val="00EF43C3"/>
    <w:rsid w:val="00F43206"/>
    <w:rsid w:val="00F45FE1"/>
    <w:rsid w:val="00F52213"/>
    <w:rsid w:val="00F61135"/>
    <w:rsid w:val="00F64DFF"/>
    <w:rsid w:val="00F75034"/>
    <w:rsid w:val="00FB4C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81DEC"/>
  <w15:chartTrackingRefBased/>
  <w15:docId w15:val="{D062CDE0-8D5D-4A23-9B31-CA7F38C2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DFF"/>
    <w:rPr>
      <w:rFonts w:eastAsiaTheme="majorEastAsia" w:cstheme="majorBidi"/>
      <w:color w:val="272727" w:themeColor="text1" w:themeTint="D8"/>
    </w:rPr>
  </w:style>
  <w:style w:type="paragraph" w:styleId="Title">
    <w:name w:val="Title"/>
    <w:basedOn w:val="Normal"/>
    <w:next w:val="Normal"/>
    <w:link w:val="TitleChar"/>
    <w:uiPriority w:val="10"/>
    <w:qFormat/>
    <w:rsid w:val="00F64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DFF"/>
    <w:pPr>
      <w:spacing w:before="160"/>
      <w:jc w:val="center"/>
    </w:pPr>
    <w:rPr>
      <w:i/>
      <w:iCs/>
      <w:color w:val="404040" w:themeColor="text1" w:themeTint="BF"/>
    </w:rPr>
  </w:style>
  <w:style w:type="character" w:customStyle="1" w:styleId="QuoteChar">
    <w:name w:val="Quote Char"/>
    <w:basedOn w:val="DefaultParagraphFont"/>
    <w:link w:val="Quote"/>
    <w:uiPriority w:val="29"/>
    <w:rsid w:val="00F64DFF"/>
    <w:rPr>
      <w:i/>
      <w:iCs/>
      <w:color w:val="404040" w:themeColor="text1" w:themeTint="BF"/>
    </w:rPr>
  </w:style>
  <w:style w:type="paragraph" w:styleId="ListParagraph">
    <w:name w:val="List Paragraph"/>
    <w:basedOn w:val="Normal"/>
    <w:uiPriority w:val="34"/>
    <w:qFormat/>
    <w:rsid w:val="00F64DFF"/>
    <w:pPr>
      <w:ind w:left="720"/>
      <w:contextualSpacing/>
    </w:pPr>
  </w:style>
  <w:style w:type="character" w:styleId="IntenseEmphasis">
    <w:name w:val="Intense Emphasis"/>
    <w:basedOn w:val="DefaultParagraphFont"/>
    <w:uiPriority w:val="21"/>
    <w:qFormat/>
    <w:rsid w:val="00F64DFF"/>
    <w:rPr>
      <w:i/>
      <w:iCs/>
      <w:color w:val="0F4761" w:themeColor="accent1" w:themeShade="BF"/>
    </w:rPr>
  </w:style>
  <w:style w:type="paragraph" w:styleId="IntenseQuote">
    <w:name w:val="Intense Quote"/>
    <w:basedOn w:val="Normal"/>
    <w:next w:val="Normal"/>
    <w:link w:val="IntenseQuoteChar"/>
    <w:uiPriority w:val="30"/>
    <w:qFormat/>
    <w:rsid w:val="00F64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DFF"/>
    <w:rPr>
      <w:i/>
      <w:iCs/>
      <w:color w:val="0F4761" w:themeColor="accent1" w:themeShade="BF"/>
    </w:rPr>
  </w:style>
  <w:style w:type="character" w:styleId="IntenseReference">
    <w:name w:val="Intense Reference"/>
    <w:basedOn w:val="DefaultParagraphFont"/>
    <w:uiPriority w:val="32"/>
    <w:qFormat/>
    <w:rsid w:val="00F64DFF"/>
    <w:rPr>
      <w:b/>
      <w:bCs/>
      <w:smallCaps/>
      <w:color w:val="0F4761" w:themeColor="accent1" w:themeShade="BF"/>
      <w:spacing w:val="5"/>
    </w:rPr>
  </w:style>
  <w:style w:type="paragraph" w:styleId="Header">
    <w:name w:val="header"/>
    <w:basedOn w:val="Normal"/>
    <w:link w:val="HeaderChar"/>
    <w:uiPriority w:val="99"/>
    <w:unhideWhenUsed/>
    <w:rsid w:val="00F64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DFF"/>
  </w:style>
  <w:style w:type="paragraph" w:styleId="Footer">
    <w:name w:val="footer"/>
    <w:basedOn w:val="Normal"/>
    <w:link w:val="FooterChar"/>
    <w:uiPriority w:val="99"/>
    <w:unhideWhenUsed/>
    <w:rsid w:val="00F64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DFF"/>
  </w:style>
  <w:style w:type="character" w:styleId="Hyperlink">
    <w:name w:val="Hyperlink"/>
    <w:basedOn w:val="DefaultParagraphFont"/>
    <w:uiPriority w:val="99"/>
    <w:unhideWhenUsed/>
    <w:rsid w:val="002E5048"/>
    <w:rPr>
      <w:color w:val="467886" w:themeColor="hyperlink"/>
      <w:u w:val="single"/>
    </w:rPr>
  </w:style>
  <w:style w:type="character" w:styleId="UnresolvedMention">
    <w:name w:val="Unresolved Mention"/>
    <w:basedOn w:val="DefaultParagraphFont"/>
    <w:uiPriority w:val="99"/>
    <w:semiHidden/>
    <w:unhideWhenUsed/>
    <w:rsid w:val="002E5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dcex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1011</Words>
  <Characters>5180</Characters>
  <Application>Microsoft Office Word</Application>
  <DocSecurity>0</DocSecurity>
  <Lines>110</Lines>
  <Paragraphs>74</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Kiasha Chetty</dc:creator>
  <cp:keywords/>
  <dc:description/>
  <cp:lastModifiedBy>Kiasha Chetty</cp:lastModifiedBy>
  <cp:revision>12</cp:revision>
  <cp:lastPrinted>2025-10-13T08:15:00Z</cp:lastPrinted>
  <dcterms:created xsi:type="dcterms:W3CDTF">2025-10-03T05:29:00Z</dcterms:created>
  <dcterms:modified xsi:type="dcterms:W3CDTF">2025-10-13T08:41:00Z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b6d4da00-9313-4526-8399-854bbb706f48</vt:lpwstr>
  </property>
</Properties>
</file>